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9556C6" w:rsidP="00367DD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2237E1">
              <w:rPr>
                <w:rFonts w:ascii="Arial" w:eastAsia="Times New Roman" w:hAnsi="Arial" w:cs="Arial"/>
                <w:lang w:eastAsia="ar-SA"/>
              </w:rPr>
              <w:t>OT.4331.</w:t>
            </w:r>
            <w:r w:rsidR="00BD4776">
              <w:rPr>
                <w:rFonts w:ascii="Arial" w:eastAsia="Times New Roman" w:hAnsi="Arial" w:cs="Arial"/>
                <w:lang w:eastAsia="ar-SA"/>
              </w:rPr>
              <w:t>38</w:t>
            </w:r>
            <w:r w:rsidRPr="002237E1">
              <w:rPr>
                <w:rFonts w:ascii="Arial" w:eastAsia="Times New Roman" w:hAnsi="Arial" w:cs="Arial"/>
                <w:lang w:eastAsia="ar-SA"/>
              </w:rPr>
              <w:t>.2019</w:t>
            </w:r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BD4776" w:rsidRDefault="00BD4776" w:rsidP="00566FEA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D4776">
              <w:rPr>
                <w:rFonts w:ascii="Arial" w:eastAsia="Times New Roman" w:hAnsi="Arial" w:cs="Arial"/>
                <w:b/>
                <w:bCs/>
                <w:lang w:eastAsia="ar-SA"/>
              </w:rPr>
              <w:t>Humira (adalimumab), roztwór do wstrzykiwań, 40 mg/0,8 ml, 2 amp.-strzyk. 0,8 ml 2 gaziki, EAN: 05909990005055 w ramach programu lekowego „Leczenie adalimumabem ropnego zapalenia apokrynowych gruczołów potowych o nasileniu umiarkowanym i ciężkim (ICD-10: L73.2)”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237E1" w:rsidRDefault="00F42438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367DDB">
        <w:rPr>
          <w:rStyle w:val="NAGZnak"/>
          <w:b w:val="0"/>
          <w:kern w:val="32"/>
          <w:sz w:val="20"/>
          <w:szCs w:val="20"/>
        </w:rPr>
        <w:t>u</w:t>
      </w:r>
      <w:r w:rsidRPr="00F42438">
        <w:rPr>
          <w:rStyle w:val="NAGZnak"/>
          <w:b w:val="0"/>
          <w:kern w:val="32"/>
          <w:sz w:val="20"/>
          <w:szCs w:val="20"/>
        </w:rPr>
        <w:t xml:space="preserve"> lecznicz</w:t>
      </w:r>
      <w:r w:rsidR="00367DDB">
        <w:rPr>
          <w:rStyle w:val="NAGZnak"/>
          <w:b w:val="0"/>
          <w:kern w:val="32"/>
          <w:sz w:val="20"/>
          <w:szCs w:val="20"/>
        </w:rPr>
        <w:t>ego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BD4776" w:rsidRPr="00BD4776">
        <w:rPr>
          <w:rStyle w:val="NAGZnak"/>
          <w:b w:val="0"/>
          <w:kern w:val="32"/>
          <w:sz w:val="20"/>
          <w:szCs w:val="20"/>
        </w:rPr>
        <w:t>Humira (adalimumab), w ramach programu lekowego „Leczenie adalimumabem ropnego zapalenia apokrynowych gruczołów potowych o nasileniu umiarkowanym i ciężkim (ICD-10: L73.2)”</w:t>
      </w:r>
      <w:r w:rsidR="00FD4600">
        <w:rPr>
          <w:rStyle w:val="NAGZnak"/>
          <w:b w:val="0"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66FEA" w:rsidRDefault="00566FEA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FEA" w:rsidRDefault="00566F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bookmarkStart w:id="0" w:name="_GoBack"/>
      <w:bookmarkEnd w:id="0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784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561"/>
    <w:multiLevelType w:val="hybridMultilevel"/>
    <w:tmpl w:val="34C4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52A34"/>
    <w:rsid w:val="000B57EF"/>
    <w:rsid w:val="00103F5F"/>
    <w:rsid w:val="00152F5D"/>
    <w:rsid w:val="00156DCE"/>
    <w:rsid w:val="002209E7"/>
    <w:rsid w:val="002237E1"/>
    <w:rsid w:val="002A33D2"/>
    <w:rsid w:val="00312C23"/>
    <w:rsid w:val="00367DDB"/>
    <w:rsid w:val="003E490D"/>
    <w:rsid w:val="004968E2"/>
    <w:rsid w:val="004A45CF"/>
    <w:rsid w:val="00534919"/>
    <w:rsid w:val="00566FEA"/>
    <w:rsid w:val="005E0437"/>
    <w:rsid w:val="006F4BCF"/>
    <w:rsid w:val="007823FD"/>
    <w:rsid w:val="007D6E92"/>
    <w:rsid w:val="008A5DF2"/>
    <w:rsid w:val="009556C6"/>
    <w:rsid w:val="00975736"/>
    <w:rsid w:val="009A6875"/>
    <w:rsid w:val="00A302E6"/>
    <w:rsid w:val="00AC2A25"/>
    <w:rsid w:val="00B476FB"/>
    <w:rsid w:val="00B85D35"/>
    <w:rsid w:val="00BD4776"/>
    <w:rsid w:val="00C07EA1"/>
    <w:rsid w:val="00C70D09"/>
    <w:rsid w:val="00D82A2C"/>
    <w:rsid w:val="00E134C5"/>
    <w:rsid w:val="00F42438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1003</Words>
  <Characters>6373</Characters>
  <Application>Microsoft Office Word</Application>
  <DocSecurity>0</DocSecurity>
  <Lines>205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12</cp:revision>
  <dcterms:created xsi:type="dcterms:W3CDTF">2018-10-31T10:29:00Z</dcterms:created>
  <dcterms:modified xsi:type="dcterms:W3CDTF">2019-09-19T10:17:00Z</dcterms:modified>
</cp:coreProperties>
</file>